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0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Mar>
              <w:top w:w="0.0" w:type="dxa"/>
              <w:left w:w="115.0" w:type="dxa"/>
              <w:bottom w:w="0.0" w:type="dxa"/>
              <w:right w:w="115.0" w:type="dxa"/>
            </w:tcMar>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tcMar>
              <w:top w:w="0.0" w:type="dxa"/>
              <w:left w:w="115.0" w:type="dxa"/>
              <w:bottom w:w="0.0" w:type="dxa"/>
              <w:right w:w="115.0" w:type="dxa"/>
            </w:tcMar>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tcMar>
              <w:top w:w="0.0" w:type="dxa"/>
              <w:left w:w="115.0" w:type="dxa"/>
              <w:bottom w:w="0.0" w:type="dxa"/>
              <w:right w:w="115.0" w:type="dxa"/>
            </w:tcMar>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Mar>
              <w:top w:w="0.0" w:type="dxa"/>
              <w:left w:w="115.0" w:type="dxa"/>
              <w:bottom w:w="0.0" w:type="dxa"/>
              <w:right w:w="115.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Mar>
              <w:top w:w="0.0" w:type="dxa"/>
              <w:left w:w="115.0" w:type="dxa"/>
              <w:bottom w:w="0.0" w:type="dxa"/>
              <w:right w:w="115.0" w:type="dxa"/>
            </w:tcMar>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6653213</wp:posOffset>
                </wp:positionH>
                <wp:positionV relativeFrom="page">
                  <wp:posOffset>10240328</wp:posOffset>
                </wp:positionV>
                <wp:extent cx="388620" cy="388620"/>
                <wp:effectExtent b="0" l="0" r="0" t="0"/>
                <wp:wrapNone/>
                <wp:docPr id="189"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6653213</wp:posOffset>
                </wp:positionH>
                <wp:positionV relativeFrom="page">
                  <wp:posOffset>10240328</wp:posOffset>
                </wp:positionV>
                <wp:extent cx="388620" cy="388620"/>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insideV w:color="000000" w:space="0" w:sz="0" w:val="nil"/>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213" name=""/>
                      <a:graphic>
                        <a:graphicData uri="http://schemas.microsoft.com/office/word/2010/wordprocessingShape">
                          <wps:wsp>
                            <wps:cNvSpPr/>
                            <wps:cNvPr id="28" name="Shape 28"/>
                            <wps:spPr>
                              <a:xfrm>
                                <a:off x="4904675" y="3599978"/>
                                <a:ext cx="88265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892175" cy="375653"/>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Transportasi, Komunikasi Dan Pariswisata Kecamatan Wanayasa</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top w:color="000000" w:space="0" w:sz="12"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top w:color="000000" w:space="0" w:sz="12"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3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numPr>
                <w:ilvl w:val="1"/>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Wanayasa</w:t>
            </w:r>
          </w:p>
        </w:tc>
      </w:tr>
      <w:tr>
        <w:trPr>
          <w:cantSplit w:val="0"/>
          <w:tblHeader w:val="0"/>
        </w:trPr>
        <w:tc>
          <w:tcPr>
            <w:tcBorders>
              <w:top w:color="000000" w:space="0" w:sz="12"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numPr>
                <w:ilvl w:val="1"/>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Jln. Raya payaman No. 1 Desa Wanayasa RT 1 RW 4 Kec Wanayasa Kode Pos 53457</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5988817</w:t>
              <w:tab/>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tl w:val="0"/>
                </w:rPr>
                <w:t xml:space="preserve">kecwanayasa.bna</w:t>
              </w:r>
            </w:hyperlink>
            <w:hyperlink r:id="rId10">
              <w:r w:rsidDel="00000000" w:rsidR="00000000" w:rsidRPr="00000000">
                <w:rPr>
                  <w:rFonts w:ascii="Arial" w:cs="Arial" w:eastAsia="Arial" w:hAnsi="Arial"/>
                  <w:color w:val="0563c1"/>
                  <w:sz w:val="20"/>
                  <w:szCs w:val="20"/>
                  <w:u w:val="single"/>
                  <w:rtl w:val="0"/>
                </w:rPr>
                <w:t xml:space="preserve">@gmail.com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43">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Wanayasa</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Alamat</w:t>
              <w:tab/>
              <w:t xml:space="preserve">: </w:t>
            </w:r>
            <w:r w:rsidDel="00000000" w:rsidR="00000000" w:rsidRPr="00000000">
              <w:rPr>
                <w:rFonts w:ascii="Arial" w:cs="Arial" w:eastAsia="Arial" w:hAnsi="Arial"/>
                <w:b w:val="1"/>
                <w:bCs w:val="1"/>
                <w:sz w:val="20"/>
                <w:szCs w:val="20"/>
                <w:rtl w:val="0"/>
              </w:rPr>
              <w:t xml:space="preserve">Jln. Raya payaman No. 1 Desa Wanayasa RT 1 RW 4 Kec Wanayasa Kode Pos 53457</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1">
              <w:r w:rsidDel="00000000" w:rsidR="00000000" w:rsidRPr="00000000">
                <w:rPr>
                  <w:rtl w:val="0"/>
                </w:rPr>
                <w:t xml:space="preserve">kecwanayasa.bna</w:t>
              </w:r>
            </w:hyperlink>
            <w:hyperlink r:id="rId12">
              <w:r w:rsidDel="00000000" w:rsidR="00000000" w:rsidRPr="00000000">
                <w:rPr>
                  <w:rFonts w:ascii="Arial" w:cs="Arial" w:eastAsia="Arial" w:hAnsi="Arial"/>
                  <w:color w:val="0563c1"/>
                  <w:sz w:val="20"/>
                  <w:szCs w:val="20"/>
                  <w:u w:val="single"/>
                  <w:rtl w:val="0"/>
                </w:rPr>
                <w:t xml:space="preserve">@gmail.com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4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memenuhi kebutuhan masyarakat tentang informasi tranpsortasi, komunikasi dan pariwisata melalui data Sektoral  Kecamatan dan Desa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memuat kondisi dan potensi masing-masing desa melalui data sektoral kecamatan, baik sumber  daya manusia dan sumber daya alam.</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Sebagai bahan perencanaan dan evaluasi pembangunan kecamatan dan desa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D">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5">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5">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5">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7">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Kegiatan Wisata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Produk pariwisata yang mewakili kombinasi berbagai aspek minat tertentu (karakteristik tempat yang dikunjungi, aktivitas spesifik di destinasi, dll).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Pelaku Usaha Obat dan Makanan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Telekomunikasi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Hubungan komunikasi jarak jauh melalui pemancaran, pengiriman, atau penerimaan segala jenis tanda, isyarat, tulisan, gambar, suara atau berita melalui kawat, radio, secara visual, atau sistem elektronik.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Pos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yang mengurus pengiriman surat, paket, dan sebagainya dengan pos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Banyaknya Sarana Transportasi Antar Desa/Kelurahan Menurut Desa/Kelurahan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Transportasi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Perpindahan manusia atau barang dari satu tempat ke tempat lainnya dengan menggunakan kendaraan.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Kabupaten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lokal dalam sistem jaringan jalan primer yang tidak termasuk pada jalan nasional dan jalan provinsi, yang menghubungkan ibukota kabupaten dengan ibukota kecamatan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D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DE">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2006854537"/>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1">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9">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E">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757173507"/>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3">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4">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3">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19">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A">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14968806"/>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74501698"/>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2">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
                      <a:graphic>
                        <a:graphicData uri="http://schemas.microsoft.com/office/word/2010/wordprocessingShape">
                          <wps:wsp>
                            <wps:cNvSpPr/>
                            <wps:cNvPr id="11" name="Shape 11"/>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828117082"/>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3" name=""/>
                      <a:graphic>
                        <a:graphicData uri="http://schemas.microsoft.com/office/word/2010/wordprocessingShape">
                          <wps:wsp>
                            <wps:cNvSpPr/>
                            <wps:cNvPr id="18" name="Shape 18"/>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631082268"/>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F">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2">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4">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8">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3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D">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4">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4A">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4F">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136618880"/>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r w:rsidDel="00000000" w:rsidR="00000000" w:rsidRPr="00000000">
              <w:rPr>
                <w:rtl w:val="0"/>
              </w:rPr>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55">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5D">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10"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4" name=""/>
                      <a:graphic>
                        <a:graphicData uri="http://schemas.microsoft.com/office/word/2010/wordprocessingShape">
                          <wps:wsp>
                            <wps:cNvSpPr/>
                            <wps:cNvPr id="19" name="Shape 1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200" name=""/>
                      <a:graphic>
                        <a:graphicData uri="http://schemas.microsoft.com/office/word/2010/wordprocessingShape">
                          <wps:wsp>
                            <wps:cNvSpPr/>
                            <wps:cNvPr id="15" name="Shape 1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4">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C">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70">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6"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9" name=""/>
                      <a:graphic>
                        <a:graphicData uri="http://schemas.microsoft.com/office/word/2010/wordprocessingShape">
                          <wps:wsp>
                            <wps:cNvSpPr/>
                            <wps:cNvPr id="24" name="Shape 2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6379" w:right="-37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 23 Februari 2026</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Mengetahui,</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Camat Wanayasa</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pBdr>
          <w:top w:color="ffffff" w:space="4" w:sz="0" w:val="none"/>
        </w:pBdr>
        <w:ind w:left="5670" w:right="-377" w:firstLine="0"/>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SRI WAHJUNI, S.E</w:t>
      </w:r>
    </w:p>
    <w:p w:rsidR="00000000" w:rsidDel="00000000" w:rsidP="00000000" w:rsidRDefault="00000000" w:rsidRPr="00000000" w14:paraId="00000191">
      <w:pPr>
        <w:pBdr>
          <w:top w:color="ffffff" w:space="4" w:sz="0" w:val="none"/>
        </w:pBdr>
        <w:ind w:left="5670" w:right="-377" w:firstLine="0"/>
        <w:jc w:val="center"/>
        <w:rPr/>
      </w:pPr>
      <w:r w:rsidDel="00000000" w:rsidR="00000000" w:rsidRPr="00000000">
        <w:rPr>
          <w:rFonts w:ascii="Arial" w:cs="Arial" w:eastAsia="Arial" w:hAnsi="Arial"/>
          <w:sz w:val="20"/>
          <w:szCs w:val="20"/>
          <w:rtl w:val="0"/>
        </w:rPr>
        <w:t xml:space="preserve">NIP. 19710217 200212 2 006</w:t>
      </w:r>
      <w:r w:rsidDel="00000000" w:rsidR="00000000" w:rsidRPr="00000000">
        <w:rPr>
          <w:rtl w:val="0"/>
        </w:rPr>
      </w:r>
    </w:p>
    <w:sectPr>
      <w:headerReference r:id="rId13"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8" w:default="1">
    <w:name w:val="Default Paragraph Font"/>
    <w:uiPriority w:val="1"/>
    <w:semiHidden w:val="1"/>
    <w:unhideWhenUsed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character" w:styleId="10">
    <w:name w:val="Hyperlink"/>
    <w:basedOn w:val="8"/>
    <w:uiPriority w:val="99"/>
    <w:unhideWhenUsed w:val="1"/>
    <w:qFormat w:val="1"/>
    <w:rPr>
      <w:color w:val="0563c1" w:themeColor="hyperlink"/>
      <w:u w:val="single"/>
      <w14:textFill>
        <w14:solidFill>
          <w14:schemeClr w14:val="hlink"/>
        </w14:solidFill>
      </w14:textFill>
    </w:rPr>
  </w:style>
  <w:style w:type="paragraph" w:styleId="11">
    <w:name w:val="Normal (Web)"/>
    <w:basedOn w:val="1"/>
    <w:uiPriority w:val="99"/>
    <w:unhideWhenUsed w:val="1"/>
    <w:qFormat w:val="1"/>
    <w:pPr>
      <w:pBdr>
        <w:top w:color="auto" w:space="0" w:sz="0" w:val="none"/>
        <w:left w:color="auto" w:space="0" w:sz="0" w:val="none"/>
        <w:bottom w:color="auto" w:space="0" w:sz="0" w:val="none"/>
        <w:right w:color="auto" w:space="0" w:sz="0" w:val="none"/>
      </w:pBdr>
      <w:spacing w:after="100" w:afterAutospacing="1" w:before="100" w:beforeAutospacing="1"/>
    </w:pPr>
    <w:rPr>
      <w:rFonts w:eastAsia="Times New Roman"/>
      <w:lang w:val="zh-CN"/>
    </w:rPr>
  </w:style>
  <w:style w:type="table" w:styleId="14" w:customStyle="1">
    <w:name w:val="_Style 11"/>
    <w:basedOn w:val="9"/>
    <w:uiPriority w:val="0"/>
    <w:qFormat w:val="1"/>
    <w:tblPr>
      <w:tblCellMar>
        <w:left w:w="115.0" w:type="dxa"/>
        <w:right w:w="115.0" w:type="dxa"/>
      </w:tblCellMar>
    </w:tblPr>
  </w:style>
  <w:style w:type="table" w:styleId="15" w:customStyle="1">
    <w:name w:val="_Style 12"/>
    <w:basedOn w:val="9"/>
    <w:uiPriority w:val="0"/>
    <w:qFormat w:val="1"/>
    <w:tblPr>
      <w:tblCellMar>
        <w:left w:w="115.0" w:type="dxa"/>
        <w:right w:w="115.0" w:type="dxa"/>
      </w:tblCellMar>
    </w:tblPr>
  </w:style>
  <w:style w:type="table" w:styleId="16" w:customStyle="1">
    <w:name w:val="_Style 13"/>
    <w:basedOn w:val="9"/>
    <w:uiPriority w:val="0"/>
    <w:qFormat w:val="1"/>
    <w:tblPr>
      <w:tblCellMar>
        <w:left w:w="115.0" w:type="dxa"/>
        <w:right w:w="115.0" w:type="dxa"/>
      </w:tblCellMar>
    </w:tblPr>
  </w:style>
  <w:style w:type="table" w:styleId="17" w:customStyle="1">
    <w:name w:val="_Style 14"/>
    <w:basedOn w:val="9"/>
    <w:uiPriority w:val="0"/>
    <w:qFormat w:val="1"/>
    <w:tblPr>
      <w:tblCellMar>
        <w:left w:w="115.0" w:type="dxa"/>
        <w:right w:w="115.0" w:type="dxa"/>
      </w:tblCellMar>
    </w:tblPr>
  </w:style>
  <w:style w:type="table" w:styleId="18" w:customStyle="1">
    <w:name w:val="_Style 15"/>
    <w:basedOn w:val="9"/>
    <w:uiPriority w:val="0"/>
    <w:qFormat w:val="1"/>
    <w:tblPr>
      <w:tblCellMar>
        <w:left w:w="115.0" w:type="dxa"/>
        <w:right w:w="115.0" w:type="dxa"/>
      </w:tblCellMar>
    </w:tblPr>
  </w:style>
  <w:style w:type="table" w:styleId="19" w:customStyle="1">
    <w:name w:val="_Style 16"/>
    <w:basedOn w:val="9"/>
    <w:uiPriority w:val="0"/>
    <w:qFormat w:val="1"/>
    <w:tblPr>
      <w:tblCellMar>
        <w:left w:w="115.0" w:type="dxa"/>
        <w:right w:w="115.0" w:type="dxa"/>
      </w:tblCellMar>
    </w:tblPr>
  </w:style>
  <w:style w:type="table" w:styleId="20" w:customStyle="1">
    <w:name w:val="_Style 17"/>
    <w:basedOn w:val="9"/>
    <w:uiPriority w:val="0"/>
    <w:qFormat w:val="1"/>
    <w:tblPr>
      <w:tblCellMar>
        <w:left w:w="115.0" w:type="dxa"/>
        <w:right w:w="115.0" w:type="dxa"/>
      </w:tblCellMar>
    </w:tblPr>
  </w:style>
  <w:style w:type="table" w:styleId="21" w:customStyle="1">
    <w:name w:val="_Style 18"/>
    <w:basedOn w:val="9"/>
    <w:uiPriority w:val="0"/>
    <w:qFormat w:val="1"/>
    <w:tblPr>
      <w:tblCellMar>
        <w:left w:w="115.0" w:type="dxa"/>
        <w:right w:w="115.0" w:type="dxa"/>
      </w:tblCellMar>
    </w:tblPr>
  </w:style>
  <w:style w:type="table" w:styleId="22" w:customStyle="1">
    <w:name w:val="_Style 19"/>
    <w:basedOn w:val="9"/>
    <w:uiPriority w:val="0"/>
    <w:qFormat w:val="1"/>
    <w:tblPr>
      <w:tblCellMar>
        <w:left w:w="115.0" w:type="dxa"/>
        <w:right w:w="115.0" w:type="dxa"/>
      </w:tblCellMar>
    </w:tblPr>
  </w:style>
  <w:style w:type="table" w:styleId="23" w:customStyle="1">
    <w:name w:val="_Style 20"/>
    <w:basedOn w:val="9"/>
    <w:uiPriority w:val="0"/>
    <w:qFormat w:val="1"/>
    <w:tblPr>
      <w:tblCellMar>
        <w:left w:w="115.0" w:type="dxa"/>
        <w:right w:w="115.0" w:type="dxa"/>
      </w:tblCellMar>
    </w:tblPr>
  </w:style>
  <w:style w:type="table" w:styleId="24" w:customStyle="1">
    <w:name w:val="_Style 21"/>
    <w:basedOn w:val="9"/>
    <w:uiPriority w:val="0"/>
    <w:qFormat w:val="1"/>
    <w:tblPr>
      <w:tblCellMar>
        <w:left w:w="115.0" w:type="dxa"/>
        <w:right w:w="115.0" w:type="dxa"/>
      </w:tblCellMar>
    </w:tblPr>
  </w:style>
  <w:style w:type="table" w:styleId="25" w:customStyle="1">
    <w:name w:val="_Style 22"/>
    <w:basedOn w:val="9"/>
    <w:uiPriority w:val="0"/>
    <w:qFormat w:val="1"/>
    <w:tblPr>
      <w:tblCellMar>
        <w:left w:w="115.0" w:type="dxa"/>
        <w:right w:w="115.0" w:type="dxa"/>
      </w:tblCellMar>
    </w:tblPr>
  </w:style>
  <w:style w:type="table" w:styleId="26" w:customStyle="1">
    <w:name w:val="_Style 23"/>
    <w:basedOn w:val="9"/>
    <w:uiPriority w:val="0"/>
    <w:qFormat w:val="1"/>
    <w:tblPr>
      <w:tblCellMar>
        <w:left w:w="115.0" w:type="dxa"/>
        <w:right w:w="115.0" w:type="dxa"/>
      </w:tblCellMar>
    </w:tblPr>
  </w:style>
  <w:style w:type="table" w:styleId="27" w:customStyle="1">
    <w:name w:val="_Style 24"/>
    <w:basedOn w:val="9"/>
    <w:uiPriority w:val="0"/>
    <w:qFormat w:val="1"/>
    <w:tblPr>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agentankecamatan01@gmail.com" TargetMode="External"/><Relationship Id="rId10" Type="http://schemas.openxmlformats.org/officeDocument/2006/relationships/hyperlink" Target="mailto:pagentankecamatan01@gmail.com" TargetMode="External"/><Relationship Id="rId13" Type="http://schemas.openxmlformats.org/officeDocument/2006/relationships/header" Target="header1.xml"/><Relationship Id="rId12" Type="http://schemas.openxmlformats.org/officeDocument/2006/relationships/hyperlink" Target="mailto:pagentankecamatan01@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gentankecamatan01@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7SGreAP41GickFnCkodDfCN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JaC4zMGowemxsMghoLmdqZGd4czgAciExZVVIamMybUpyc3FxVklxTW0zbTAweVBINGlJRVlOM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2024-02-23T03:31:00Z</dcterms:created>
  <dc:creator>Sebo Hari Sumbogo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7C5B96FA2A13404C9B2E0CFC1E188BAB_12</vt:lpwstr>
  </property>
</Properties>
</file>