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1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18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8415" cy="3846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data Pemerintahan Kecamatan Purwanegara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1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Pembangunan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</w:t>
            </w:r>
          </w:p>
        </w:tc>
      </w:tr>
    </w:tbl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P:urwanegara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Jl. Raya Km. 19 Purwanegara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5988635</w:t>
              <w:tab/>
              <w:t xml:space="preserve">Faksimile</w:t>
              <w:tab/>
              <w:t xml:space="preserve">: (0286) 5988635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kec._purwanegara@banjarnegarakab.go.id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:Sekertaris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 Plt. Camat Purwanegara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36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Km. 19 Purwanegara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5988635</w:t>
              <w:tab/>
              <w:t xml:space="preserve">Faksimile</w:t>
              <w:tab/>
              <w:t xml:space="preserve">: (0286) 5988635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kec._purwanegara@banjarnegarakab.go.id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Dalam Rangka memenuhi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Purwanegara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805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25"/>
              <w:gridCol w:w="840"/>
              <w:gridCol w:w="825"/>
              <w:gridCol w:w="840"/>
              <w:gridCol w:w="570"/>
              <w:gridCol w:w="825"/>
              <w:gridCol w:w="600"/>
              <w:gridCol w:w="1080"/>
              <w:tblGridChange w:id="0">
                <w:tblGrid>
                  <w:gridCol w:w="3225"/>
                  <w:gridCol w:w="840"/>
                  <w:gridCol w:w="825"/>
                  <w:gridCol w:w="840"/>
                  <w:gridCol w:w="570"/>
                  <w:gridCol w:w="825"/>
                  <w:gridCol w:w="600"/>
                  <w:gridCol w:w="10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5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</w:tbl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tanah milik desa yang dipinjamkan kepada pamong desa untuk digarap dan dipetik hasilnya sebagai pengganti gaji.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Besarnya 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Salah satu kekayaaan desa yang dikelola oleh Pemerintah desa dan dimanfaatkan sepenuhnya untuk kepentingan penyelenggaraan pemerintahan, pembangunan dan pelayanan masyarakat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Perangkat Desa (Jenis Kelamin, Jabatan)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Perangkat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adalah unsur staf yang membantu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penyusunan Kebijakan dan koordinasi yang diwadahi dalam Sekretariat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, dan unsur pendukung tugas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pelaksanaan kebijakan yang diwadahi dalam bentuk pelaksana teknis dan unsur kewilayahan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Tetangga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Kumpulan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beberapa Kepala Keluarga atau KK disetiap Desa/ Kelurahan dan dipimpin oleh satu ketua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RW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Warga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pemerintah yang terdiri dari beberapa kelompok RT di suatu Desa/ Kelurahan dan dipimpin oleh satu ketua RW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bagian wilayah dari Desa yang terdiri dari beberapa RT/RW yang dikepalai oleh Kepala Dusun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Anggota BPD/LPMK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Badan Permusyawaratan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yang melaksanakan fungsi pemerintahan yang anggotanya merupakan wakil dari penduduk Desa berdasarkan keterwakilan wilayah dan ditetapkan secara demokratis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bookmarkStart w:colFirst="0" w:colLast="0" w:name="_heading=h.gjdgxs" w:id="0"/>
                  <w:bookmarkEnd w:id="0"/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Kegiatan 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Pengambilan keputusan berdasarkan pembahasan bersama (musyawarah) dengan maksud mencapai penyelesaian masalah dengan persetujuan semua pihak (mufakat).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2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6078208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3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39736428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2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4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95305480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4165950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7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08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24941755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99501273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9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7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4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F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3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9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94249312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5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8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9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9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05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8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9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A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5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0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</w:tr>
          </w:tbl>
          <w:p w:rsidR="00000000" w:rsidDel="00000000" w:rsidP="00000000" w:rsidRDefault="00000000" w:rsidRPr="00000000" w14:paraId="000001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02 Februari 2026</w:t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Plt. CAMAT PURWANEGARA</w:t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PENI HARININGSIH, S.Kom.</w:t>
      </w:r>
    </w:p>
    <w:p w:rsidR="00000000" w:rsidDel="00000000" w:rsidP="00000000" w:rsidRDefault="00000000" w:rsidRPr="00000000" w14:paraId="000001A9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19690302 199903 2 002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6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CellMar>
        <w:left w:w="115.0" w:type="dxa"/>
        <w:right w:w="115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07DB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2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roiXRUuZw7zyafKlJ0p1CYYV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gAciExa1VpX1pfamswc3lxVk1sbFVjVWVGb2wyRDVHejY5R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2024-02-23T07:20:00Z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