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622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07715CF4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0E58F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07715CF4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0E58F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7B0D28C5" w:rsidR="0015329B" w:rsidRPr="00E87525" w:rsidRDefault="00FB3989" w:rsidP="00E67036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Banyaknya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Pengeluaran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Ternak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Potong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KeKabupaten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Banjarnegara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menurut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Kecamatan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dan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Jenis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Ternak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Pr="00FB3989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202</w:t>
            </w:r>
            <w:r w:rsidR="000E58F5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5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37452BB1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605D8D46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</w:t>
            </w:r>
            <w:r w:rsidR="00FB398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Banyaknya pengeluaran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ternak</w:t>
            </w:r>
            <w:r w:rsidR="00FB398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potong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, </w:t>
            </w:r>
            <w:r w:rsidR="00FB398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ke Kabupaten Banjarnegara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sebagai dasar perencanaan bagi publik, instansi sendiri dan para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pihak yang membutuhkan data 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64EA45EA" w:rsidR="0015329B" w:rsidRPr="002F34F9" w:rsidRDefault="002F34F9" w:rsidP="002F34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FB398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Banyaknya pengeluaran ternak potong ke Kabupaten Banjarnegara</w:t>
            </w:r>
            <w:r w:rsidR="00B7461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 w:rsidR="00FB3989">
              <w:rPr>
                <w:rFonts w:ascii="Cambria" w:hAnsi="Cambria" w:cs="Calibri"/>
                <w:sz w:val="22"/>
                <w:szCs w:val="22"/>
                <w:lang w:val="en-US"/>
              </w:rPr>
              <w:t>seperti</w:t>
            </w:r>
            <w:r w:rsidR="00B7461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Sapi Perah,</w:t>
            </w:r>
            <w:r>
              <w:rPr>
                <w:rFonts w:ascii="Cambria" w:hAnsi="Cambria" w:cs="Calibri"/>
                <w:sz w:val="22"/>
                <w:szCs w:val="22"/>
                <w:lang w:val="en-US"/>
              </w:rPr>
              <w:t xml:space="preserve"> Sapi Potong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Kerbau Dan kuda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451E3AE6" w:rsidR="006229E5" w:rsidRPr="00D44C82" w:rsidRDefault="006229E5" w:rsidP="00FB398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FB398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5D7AD49E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767EC19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032B342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3B22054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1115F37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6FD2E2F4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5DE85F77" w:rsidR="006229E5" w:rsidRPr="00DF388F" w:rsidRDefault="006229E5" w:rsidP="00FB398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FB398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2FA00485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3AFA8974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598A1060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0A30A52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29CF9E4B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73972B3B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229E5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2E5FE73B" w:rsidR="006229E5" w:rsidRPr="00D44C82" w:rsidRDefault="006229E5" w:rsidP="00FB398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FB398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628EFCAC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1DCDA6A9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36E961F1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08869C38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0CD6A18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0969F300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229E5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6229E5" w:rsidRPr="00DF388F" w:rsidRDefault="006229E5" w:rsidP="006229E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356A30E7" w:rsidR="006229E5" w:rsidRPr="00D44C82" w:rsidRDefault="006229E5" w:rsidP="00FB398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FB398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0C2E2FF3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34D8B34B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354686CD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50EBCE7A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655B9D9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3CA557D1" w:rsidR="006229E5" w:rsidRPr="00D44C82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229E5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6229E5" w:rsidRPr="00DF388F" w:rsidRDefault="006229E5" w:rsidP="006229E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6229E5" w:rsidRPr="00DF388F" w:rsidRDefault="006229E5" w:rsidP="006229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E58F5" w:rsidRPr="00DF388F" w14:paraId="747C98B3" w14:textId="77777777" w:rsidTr="00103C3C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0E58F5" w:rsidRPr="00DF388F" w:rsidRDefault="000E58F5" w:rsidP="000E58F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1548C717" w:rsidR="000E58F5" w:rsidRPr="00B74613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3FAB8C25" w:rsidR="000E58F5" w:rsidRPr="00B74613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323E876E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9201E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6BC6032C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2674AA8B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64BF5E33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20E8F593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BA5AB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0E58F5" w:rsidRPr="00DF388F" w14:paraId="68660B28" w14:textId="77777777" w:rsidTr="00103C3C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0E58F5" w:rsidRPr="00DF388F" w:rsidRDefault="000E58F5" w:rsidP="000E58F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05AD24DC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5E6BCC35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22E444CA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9201E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18DB3B45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2D7D7725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41509F4E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3D459781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BA5AB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0E58F5" w:rsidRPr="00DF388F" w14:paraId="2F0D2D43" w14:textId="77777777" w:rsidTr="00103C3C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0E58F5" w:rsidRPr="00DF388F" w:rsidRDefault="000E58F5" w:rsidP="000E58F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089C2CD5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6A708A5E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02B3BDD7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9201E2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74476D57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733AA32E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2B93103A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6326E06A" w:rsidR="000E58F5" w:rsidRPr="00DF388F" w:rsidRDefault="000E58F5" w:rsidP="000E58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BA5AB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2B04A49E" w:rsidR="001A1248" w:rsidRDefault="00FB3989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</w:t>
                  </w:r>
                  <w:r w:rsidR="00387CB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2E1D388A" w:rsidR="0015329B" w:rsidRPr="00D44C82" w:rsidRDefault="00D33C4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2E1D388A" w:rsidR="0015329B" w:rsidRPr="00D44C82" w:rsidRDefault="00D33C4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7B943497" w:rsidR="0015329B" w:rsidRPr="00D44C82" w:rsidRDefault="00D33C4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7B943497" w:rsidR="0015329B" w:rsidRPr="00D44C82" w:rsidRDefault="00D33C4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7FB26E80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7FB26E80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DA75761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33C4A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: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4D21E5E2" w:rsidR="0015329B" w:rsidRPr="00E6281D" w:rsidRDefault="00D33C4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4D21E5E2" w:rsidR="0015329B" w:rsidRPr="00E6281D" w:rsidRDefault="00D33C4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5CE9E13C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D33C4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5CE9E13C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D33C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5067AF71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31EA52C7" w:rsidR="0015329B" w:rsidRPr="00F85DA8" w:rsidRDefault="00D33C4A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31EA52C7" w:rsidR="0015329B" w:rsidRPr="00F85DA8" w:rsidRDefault="00D33C4A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6549F4A6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409CC053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0E58F5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699240DD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6229E5">
              <w:rPr>
                <w:sz w:val="22"/>
                <w:szCs w:val="22"/>
                <w:lang w:val="en-US"/>
              </w:rPr>
              <w:t xml:space="preserve">   Februari 202</w:t>
            </w:r>
            <w:r w:rsidR="000E58F5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9710196">
    <w:abstractNumId w:val="1"/>
  </w:num>
  <w:num w:numId="2" w16cid:durableId="1572429377">
    <w:abstractNumId w:val="8"/>
  </w:num>
  <w:num w:numId="3" w16cid:durableId="1384259260">
    <w:abstractNumId w:val="2"/>
  </w:num>
  <w:num w:numId="4" w16cid:durableId="889153839">
    <w:abstractNumId w:val="4"/>
  </w:num>
  <w:num w:numId="5" w16cid:durableId="597062580">
    <w:abstractNumId w:val="0"/>
  </w:num>
  <w:num w:numId="6" w16cid:durableId="779565263">
    <w:abstractNumId w:val="5"/>
  </w:num>
  <w:num w:numId="7" w16cid:durableId="20598647">
    <w:abstractNumId w:val="10"/>
  </w:num>
  <w:num w:numId="8" w16cid:durableId="1391613660">
    <w:abstractNumId w:val="6"/>
  </w:num>
  <w:num w:numId="9" w16cid:durableId="219945229">
    <w:abstractNumId w:val="9"/>
  </w:num>
  <w:num w:numId="10" w16cid:durableId="2066564938">
    <w:abstractNumId w:val="7"/>
  </w:num>
  <w:num w:numId="11" w16cid:durableId="1062749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E58F5"/>
    <w:rsid w:val="001212D8"/>
    <w:rsid w:val="0015329B"/>
    <w:rsid w:val="001957D3"/>
    <w:rsid w:val="001A1248"/>
    <w:rsid w:val="001D66CE"/>
    <w:rsid w:val="00246C5A"/>
    <w:rsid w:val="002E404C"/>
    <w:rsid w:val="002F34F9"/>
    <w:rsid w:val="003161EC"/>
    <w:rsid w:val="00363971"/>
    <w:rsid w:val="00387CB8"/>
    <w:rsid w:val="00495D9B"/>
    <w:rsid w:val="00496B61"/>
    <w:rsid w:val="00523210"/>
    <w:rsid w:val="00543977"/>
    <w:rsid w:val="0058598A"/>
    <w:rsid w:val="005B207B"/>
    <w:rsid w:val="006229E5"/>
    <w:rsid w:val="0064572E"/>
    <w:rsid w:val="00732B54"/>
    <w:rsid w:val="0078571F"/>
    <w:rsid w:val="007A06FA"/>
    <w:rsid w:val="007C3532"/>
    <w:rsid w:val="00843043"/>
    <w:rsid w:val="00851ED3"/>
    <w:rsid w:val="00884B36"/>
    <w:rsid w:val="00AA1FE4"/>
    <w:rsid w:val="00B73C8C"/>
    <w:rsid w:val="00B74613"/>
    <w:rsid w:val="00CA22EF"/>
    <w:rsid w:val="00D06D28"/>
    <w:rsid w:val="00D33C4A"/>
    <w:rsid w:val="00D44C82"/>
    <w:rsid w:val="00D45607"/>
    <w:rsid w:val="00D64913"/>
    <w:rsid w:val="00E109C9"/>
    <w:rsid w:val="00E6281D"/>
    <w:rsid w:val="00E65EED"/>
    <w:rsid w:val="00E67036"/>
    <w:rsid w:val="00E87525"/>
    <w:rsid w:val="00F85DA8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17</cp:revision>
  <cp:lastPrinted>2021-09-28T03:40:00Z</cp:lastPrinted>
  <dcterms:created xsi:type="dcterms:W3CDTF">2021-09-28T04:29:00Z</dcterms:created>
  <dcterms:modified xsi:type="dcterms:W3CDTF">2026-02-12T01:17:00Z</dcterms:modified>
</cp:coreProperties>
</file>