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28575</wp:posOffset>
                      </wp:positionV>
                      <wp:extent cx="1123315" cy="323839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28575</wp:posOffset>
                      </wp:positionV>
                      <wp:extent cx="1123315" cy="323839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3315" cy="3238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WANADADI 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Wanadadi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Raya Timur Wanadadi – Wanakarsa Kecamatan Wanadadi Kabupaten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sekretariat.kec.wanadadi@gmail.com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Wanadadi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Timur Wanadadi – Wanakarsa Kecamatan Wanadadi Kab. Banjarnegara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sekretariat.kec.wanadadi@gmail.com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Wanadadi </w:t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15251369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7877515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2860789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4415667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208871239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27962150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(sebutkan)Pemeriksaan</w:t>
              <w:tab/>
              <w:t xml:space="preserve">- 8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4646989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F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5886450</wp:posOffset>
                      </wp:positionH>
                      <wp:positionV relativeFrom="paragraph">
                        <wp:posOffset>76200</wp:posOffset>
                      </wp:positionV>
                      <wp:extent cx="271145" cy="27114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5886450</wp:posOffset>
                      </wp:positionH>
                      <wp:positionV relativeFrom="paragraph">
                        <wp:posOffset>76200</wp:posOffset>
                      </wp:positionV>
                      <wp:extent cx="271145" cy="271145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5886450</wp:posOffset>
                      </wp:positionH>
                      <wp:positionV relativeFrom="paragraph">
                        <wp:posOffset>153981</wp:posOffset>
                      </wp:positionV>
                      <wp:extent cx="271145" cy="27114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5886450</wp:posOffset>
                      </wp:positionH>
                      <wp:positionV relativeFrom="paragraph">
                        <wp:posOffset>153981</wp:posOffset>
                      </wp:positionV>
                      <wp:extent cx="271145" cy="27114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5629589</wp:posOffset>
                      </wp:positionH>
                      <wp:positionV relativeFrom="paragraph">
                        <wp:posOffset>38100</wp:posOffset>
                      </wp:positionV>
                      <wp:extent cx="352111" cy="352111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5629589</wp:posOffset>
                      </wp:positionH>
                      <wp:positionV relativeFrom="paragraph">
                        <wp:posOffset>38100</wp:posOffset>
                      </wp:positionV>
                      <wp:extent cx="352111" cy="352111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111" cy="3521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44462</wp:posOffset>
                      </wp:positionV>
                      <wp:extent cx="271145" cy="27114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44462</wp:posOffset>
                      </wp:positionV>
                      <wp:extent cx="271145" cy="27114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95250</wp:posOffset>
                      </wp:positionV>
                      <wp:extent cx="266700" cy="266700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49" y="3653950"/>
                                <a:ext cx="327600" cy="39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95250</wp:posOffset>
                      </wp:positionV>
                      <wp:extent cx="266700" cy="266700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/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/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Februari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Banjarnegara, 12 Februari  2026</w:t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Camat Wanadadi</w:t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NIP. 19790612 199903 1 001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eastAsia="en-ID" w:val="en-I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V9nBsH+kB7ovipqc+MLR+46j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MnhkMFRiLVpQd3d5OVZOZ2NoZDQ0WGpmNlNJblZTM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